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0E17" w14:textId="77777777" w:rsidR="00541024" w:rsidRPr="00B3067F" w:rsidRDefault="00541024" w:rsidP="00541024">
      <w:pPr>
        <w:jc w:val="center"/>
        <w:rPr>
          <w:b/>
          <w:bCs/>
        </w:rPr>
      </w:pPr>
      <w:r w:rsidRPr="00B3067F">
        <w:rPr>
          <w:b/>
          <w:bCs/>
        </w:rPr>
        <w:t>Règlement Appel à projets ‘</w:t>
      </w:r>
      <w:r w:rsidR="00C0096D">
        <w:rPr>
          <w:b/>
          <w:bCs/>
        </w:rPr>
        <w:t>Le talent des jeunes’</w:t>
      </w:r>
    </w:p>
    <w:p w14:paraId="3179279A" w14:textId="77777777" w:rsidR="00541024" w:rsidRPr="00B3067F" w:rsidRDefault="00541024" w:rsidP="00541024">
      <w:pPr>
        <w:jc w:val="both"/>
        <w:rPr>
          <w:b/>
          <w:bCs/>
        </w:rPr>
      </w:pPr>
      <w:r w:rsidRPr="00BF4802">
        <w:rPr>
          <w:b/>
          <w:bCs/>
        </w:rPr>
        <w:t xml:space="preserve">Article 1. </w:t>
      </w:r>
      <w:r w:rsidRPr="00B3067F">
        <w:rPr>
          <w:b/>
          <w:bCs/>
        </w:rPr>
        <w:t xml:space="preserve">Cadre </w:t>
      </w:r>
    </w:p>
    <w:p w14:paraId="0FF10EF9" w14:textId="5835881A" w:rsidR="00541024" w:rsidRPr="00975DDA" w:rsidRDefault="00541024" w:rsidP="00541024">
      <w:pPr>
        <w:jc w:val="both"/>
      </w:pPr>
      <w:r>
        <w:t xml:space="preserve">Dans le cadre du programme du Contrat École </w:t>
      </w:r>
      <w:proofErr w:type="spellStart"/>
      <w:r>
        <w:t>Toots</w:t>
      </w:r>
      <w:proofErr w:type="spellEnd"/>
      <w:r>
        <w:t xml:space="preserve"> Thielemans, un appel à projets sera lan</w:t>
      </w:r>
      <w:r w:rsidR="00F722B0">
        <w:t xml:space="preserve">cé </w:t>
      </w:r>
      <w:r w:rsidR="00F722B0" w:rsidRPr="007B0D82">
        <w:t>annuellement</w:t>
      </w:r>
      <w:r w:rsidR="00F722B0" w:rsidRPr="00975DDA">
        <w:t xml:space="preserve"> pour l’action </w:t>
      </w:r>
      <w:r w:rsidR="00C0096D" w:rsidRPr="00975DDA">
        <w:t>7</w:t>
      </w:r>
      <w:r w:rsidRPr="00975DDA">
        <w:t xml:space="preserve"> ‘</w:t>
      </w:r>
      <w:r w:rsidR="00C0096D" w:rsidRPr="00975DDA">
        <w:t>Le talent des jeunes</w:t>
      </w:r>
      <w:r w:rsidRPr="00975DDA">
        <w:t xml:space="preserve">’. Les projets seront </w:t>
      </w:r>
      <w:r w:rsidR="00F91789">
        <w:t>suivis</w:t>
      </w:r>
      <w:r w:rsidRPr="00975DDA">
        <w:t xml:space="preserve"> par </w:t>
      </w:r>
      <w:r w:rsidR="00C0096D" w:rsidRPr="00975DDA">
        <w:t>le coordinateur école-quartier</w:t>
      </w:r>
      <w:r w:rsidRPr="00975DDA">
        <w:t xml:space="preserve">. </w:t>
      </w:r>
    </w:p>
    <w:p w14:paraId="2DD82523" w14:textId="09F15411" w:rsidR="00541024" w:rsidRPr="00ED00C6" w:rsidRDefault="00541024" w:rsidP="00541024">
      <w:pPr>
        <w:jc w:val="both"/>
      </w:pPr>
      <w:r w:rsidRPr="00ED00C6">
        <w:t xml:space="preserve">La Commune </w:t>
      </w:r>
      <w:r w:rsidRPr="00932A5C">
        <w:t xml:space="preserve">organisera </w:t>
      </w:r>
      <w:r w:rsidR="00F91789">
        <w:t>un</w:t>
      </w:r>
      <w:r w:rsidR="00ED00C6" w:rsidRPr="00932A5C">
        <w:t xml:space="preserve"> a</w:t>
      </w:r>
      <w:r w:rsidR="00932A5C" w:rsidRPr="00932A5C">
        <w:t xml:space="preserve">ppel </w:t>
      </w:r>
      <w:r w:rsidRPr="00932A5C">
        <w:t>à</w:t>
      </w:r>
      <w:r w:rsidRPr="00ED00C6">
        <w:t xml:space="preserve"> projets </w:t>
      </w:r>
      <w:r w:rsidR="00932A5C">
        <w:t xml:space="preserve">annuel </w:t>
      </w:r>
      <w:r w:rsidRPr="00ED00C6">
        <w:t xml:space="preserve">dans le cadre de cette action. Les acteurs du quartier seront sélectionnés par un jury indépendant et bénéficieront d’un budget afin de le réaliser dans l’année </w:t>
      </w:r>
      <w:r w:rsidR="00096002" w:rsidRPr="00ED00C6">
        <w:t xml:space="preserve">scolaire </w:t>
      </w:r>
      <w:r w:rsidR="00ED00C6" w:rsidRPr="00ED00C6">
        <w:t>qui suit la sélection.</w:t>
      </w:r>
    </w:p>
    <w:p w14:paraId="58157429" w14:textId="77777777" w:rsidR="00541024" w:rsidRDefault="00541024" w:rsidP="00541024">
      <w:pPr>
        <w:jc w:val="both"/>
      </w:pPr>
    </w:p>
    <w:p w14:paraId="4A16332E" w14:textId="77777777" w:rsidR="00541024" w:rsidRPr="00B3067F" w:rsidRDefault="00541024" w:rsidP="00541024">
      <w:pPr>
        <w:jc w:val="both"/>
        <w:rPr>
          <w:b/>
          <w:bCs/>
        </w:rPr>
      </w:pPr>
      <w:r w:rsidRPr="00BF4802">
        <w:rPr>
          <w:b/>
          <w:bCs/>
        </w:rPr>
        <w:t xml:space="preserve">Article 2. </w:t>
      </w:r>
      <w:r w:rsidRPr="00B3067F">
        <w:rPr>
          <w:b/>
          <w:bCs/>
        </w:rPr>
        <w:t>Objectifs du projet</w:t>
      </w:r>
    </w:p>
    <w:p w14:paraId="50B64B9E" w14:textId="77777777" w:rsidR="004D2162" w:rsidRDefault="004D2162" w:rsidP="00541024">
      <w:pPr>
        <w:jc w:val="both"/>
        <w:rPr>
          <w:u w:val="single"/>
        </w:rPr>
      </w:pPr>
      <w:r w:rsidRPr="004D2162">
        <w:rPr>
          <w:u w:val="single"/>
        </w:rPr>
        <w:t>Descriptif du projet</w:t>
      </w:r>
    </w:p>
    <w:p w14:paraId="7C7FD96A" w14:textId="77777777" w:rsidR="00F9574E" w:rsidRDefault="0096675D" w:rsidP="00541024">
      <w:pPr>
        <w:jc w:val="both"/>
      </w:pPr>
      <w:r>
        <w:t>Il s’agit d’un appel à projets lancé chaque année par le coordinateur école-quartier</w:t>
      </w:r>
      <w:r w:rsidR="00F9574E">
        <w:t>.</w:t>
      </w:r>
      <w:r>
        <w:t xml:space="preserve"> L’appel recherche des projets qui donnent une image positive des jeunes, de l’école et/ou du quartier.</w:t>
      </w:r>
    </w:p>
    <w:p w14:paraId="4FC4C2B9" w14:textId="38ABFEA8" w:rsidR="0096675D" w:rsidRDefault="0096675D" w:rsidP="00541024">
      <w:pPr>
        <w:jc w:val="both"/>
      </w:pPr>
      <w:r>
        <w:t xml:space="preserve">Ce quartier a une grande partie de sa population qui a aujourd’hui moins de 30 ans. L’objectif est de </w:t>
      </w:r>
      <w:proofErr w:type="gramStart"/>
      <w:r>
        <w:t>communiquer</w:t>
      </w:r>
      <w:proofErr w:type="gramEnd"/>
      <w:r>
        <w:t xml:space="preserve"> les </w:t>
      </w:r>
      <w:proofErr w:type="spellStart"/>
      <w:r>
        <w:t>savoirs-faire</w:t>
      </w:r>
      <w:proofErr w:type="spellEnd"/>
      <w:r>
        <w:t xml:space="preserve"> entre cette jeune génération qui a l’envie et le talent. Dans ce projet, les jeunes font le portrait de leur quartier et celui de l’école par le biais de photos</w:t>
      </w:r>
      <w:r w:rsidR="00F91789">
        <w:t>,</w:t>
      </w:r>
      <w:r>
        <w:t xml:space="preserve"> de vidéos</w:t>
      </w:r>
      <w:r w:rsidR="00F91789">
        <w:t xml:space="preserve"> ou autres</w:t>
      </w:r>
      <w:r>
        <w:t>. Leurs travaux sont ensuite exposés dans l’école (vitrine, mur aveugle, etc.).</w:t>
      </w:r>
    </w:p>
    <w:p w14:paraId="4A6F1FED" w14:textId="77777777" w:rsidR="00F9574E" w:rsidRDefault="00F9574E" w:rsidP="00541024">
      <w:pPr>
        <w:jc w:val="both"/>
        <w:rPr>
          <w:u w:val="single"/>
        </w:rPr>
      </w:pPr>
      <w:r>
        <w:rPr>
          <w:u w:val="single"/>
        </w:rPr>
        <w:t>Constats</w:t>
      </w:r>
    </w:p>
    <w:p w14:paraId="2428B671" w14:textId="77777777" w:rsidR="0096675D" w:rsidRDefault="0096675D" w:rsidP="00541024">
      <w:pPr>
        <w:jc w:val="both"/>
      </w:pPr>
      <w:r>
        <w:t>L’école a actuellement une image négative dans le quartier. Souvent parce que le quartier ne connaît pas l’école et vice-versa.</w:t>
      </w:r>
    </w:p>
    <w:p w14:paraId="48EBE3BE" w14:textId="77777777" w:rsidR="0096675D" w:rsidRDefault="0096675D" w:rsidP="00541024">
      <w:pPr>
        <w:jc w:val="both"/>
      </w:pPr>
      <w:r>
        <w:t>Il est également important pour la confiance en soi et la motivation des jeunes que leur travail soit valorisé et apprécié.</w:t>
      </w:r>
    </w:p>
    <w:p w14:paraId="1C8CCFEF" w14:textId="77777777" w:rsidR="008B31CE" w:rsidRDefault="008B31CE" w:rsidP="00541024">
      <w:pPr>
        <w:jc w:val="both"/>
        <w:rPr>
          <w:u w:val="single"/>
        </w:rPr>
      </w:pPr>
      <w:r>
        <w:rPr>
          <w:u w:val="single"/>
        </w:rPr>
        <w:t>Objectifs</w:t>
      </w:r>
    </w:p>
    <w:p w14:paraId="2AEE3558" w14:textId="77777777" w:rsidR="004F0C25" w:rsidRPr="004F0C25" w:rsidRDefault="004F0C25" w:rsidP="00E542B2">
      <w:pPr>
        <w:pStyle w:val="Paragraphedeliste"/>
        <w:numPr>
          <w:ilvl w:val="0"/>
          <w:numId w:val="13"/>
        </w:numPr>
        <w:jc w:val="both"/>
        <w:rPr>
          <w:u w:val="single"/>
        </w:rPr>
      </w:pPr>
      <w:r>
        <w:t>L</w:t>
      </w:r>
      <w:r w:rsidR="00F31319">
        <w:t>e travail des jeunes est valorisé et apprécié</w:t>
      </w:r>
    </w:p>
    <w:p w14:paraId="0F812C05" w14:textId="77777777" w:rsidR="004F0C25" w:rsidRPr="004F0C25" w:rsidRDefault="004F0C25" w:rsidP="00E542B2">
      <w:pPr>
        <w:pStyle w:val="Paragraphedeliste"/>
        <w:numPr>
          <w:ilvl w:val="0"/>
          <w:numId w:val="13"/>
        </w:numPr>
        <w:jc w:val="both"/>
        <w:rPr>
          <w:u w:val="single"/>
        </w:rPr>
      </w:pPr>
      <w:r>
        <w:t>L</w:t>
      </w:r>
      <w:r w:rsidR="00F31319">
        <w:t>es jeunes aiguisent leurs compétences</w:t>
      </w:r>
    </w:p>
    <w:p w14:paraId="69826506" w14:textId="77777777" w:rsidR="00F31319" w:rsidRPr="00F31319" w:rsidRDefault="004F0C25" w:rsidP="00E542B2">
      <w:pPr>
        <w:pStyle w:val="Paragraphedeliste"/>
        <w:numPr>
          <w:ilvl w:val="0"/>
          <w:numId w:val="13"/>
        </w:numPr>
        <w:jc w:val="both"/>
        <w:rPr>
          <w:u w:val="single"/>
        </w:rPr>
      </w:pPr>
      <w:r>
        <w:t>L</w:t>
      </w:r>
      <w:r w:rsidR="00F31319">
        <w:t>e projet aide à combattre les stéréotypes</w:t>
      </w:r>
    </w:p>
    <w:p w14:paraId="0445B3F7" w14:textId="77777777" w:rsidR="00F91789" w:rsidRPr="004F0C25" w:rsidRDefault="00F91789" w:rsidP="00F91789">
      <w:pPr>
        <w:jc w:val="both"/>
      </w:pPr>
      <w:r>
        <w:t>Des opportunités peuvent être trouvées pour tisser du lien avec la dynamique forte de quartier : créer des occasions de rencontre entre l’école et le quartier, mutualiser les espaces ou équipements afin de stimuler le contact et l’interaction.</w:t>
      </w:r>
    </w:p>
    <w:p w14:paraId="4A6A93A3" w14:textId="77777777" w:rsidR="00E573D9" w:rsidRPr="00F31319" w:rsidRDefault="00E573D9" w:rsidP="00F31319">
      <w:pPr>
        <w:jc w:val="both"/>
        <w:rPr>
          <w:u w:val="single"/>
        </w:rPr>
      </w:pPr>
      <w:r w:rsidRPr="00F31319">
        <w:rPr>
          <w:u w:val="single"/>
        </w:rPr>
        <w:t>Résultats escomptés</w:t>
      </w:r>
    </w:p>
    <w:p w14:paraId="75AEA2BD" w14:textId="77777777" w:rsidR="00541024" w:rsidRDefault="00F31319" w:rsidP="00541024">
      <w:pPr>
        <w:jc w:val="both"/>
      </w:pPr>
      <w:r>
        <w:t xml:space="preserve">Ce type de projet peut augmenter la confiance des élèves et améliorer leur engagement et celle du quartier. Les habitants du quartier apprennent à mieux connaître les jeunes, le quartier et l’école et ils entrent au contact les uns avec les autres. </w:t>
      </w:r>
    </w:p>
    <w:p w14:paraId="47A61449" w14:textId="77777777" w:rsidR="008D3608" w:rsidRDefault="008D3608" w:rsidP="00541024">
      <w:pPr>
        <w:jc w:val="both"/>
      </w:pPr>
    </w:p>
    <w:p w14:paraId="49651673" w14:textId="77777777" w:rsidR="00541024" w:rsidRPr="00DA63C9" w:rsidRDefault="00541024" w:rsidP="00541024">
      <w:pPr>
        <w:jc w:val="both"/>
        <w:rPr>
          <w:b/>
          <w:bCs/>
        </w:rPr>
      </w:pPr>
      <w:r w:rsidRPr="00BF4802">
        <w:rPr>
          <w:b/>
          <w:bCs/>
        </w:rPr>
        <w:t xml:space="preserve">Article 3. </w:t>
      </w:r>
      <w:r w:rsidRPr="00DA63C9">
        <w:rPr>
          <w:b/>
          <w:bCs/>
        </w:rPr>
        <w:t>Condition de réussite des projets</w:t>
      </w:r>
    </w:p>
    <w:p w14:paraId="461B2320" w14:textId="6B446533" w:rsidR="001B553B" w:rsidRDefault="00047A79" w:rsidP="00541024">
      <w:pPr>
        <w:jc w:val="both"/>
      </w:pPr>
      <w:r>
        <w:t>L</w:t>
      </w:r>
      <w:r w:rsidR="00F91789">
        <w:t>a</w:t>
      </w:r>
      <w:r>
        <w:t xml:space="preserve"> condition de réussite </w:t>
      </w:r>
      <w:r w:rsidR="00F91789">
        <w:t>est</w:t>
      </w:r>
      <w:r>
        <w:t xml:space="preserve"> que l’appel s’adresse aussi bien aux garçons qu’aux filles.</w:t>
      </w:r>
    </w:p>
    <w:p w14:paraId="1A1F6B4D" w14:textId="77777777" w:rsidR="00047A79" w:rsidRDefault="00047A79" w:rsidP="00541024">
      <w:pPr>
        <w:jc w:val="both"/>
        <w:rPr>
          <w:b/>
          <w:bCs/>
        </w:rPr>
      </w:pPr>
    </w:p>
    <w:p w14:paraId="4264394C" w14:textId="77777777" w:rsidR="00C34D45" w:rsidRPr="00EA1804" w:rsidRDefault="00C34D45" w:rsidP="00C34D45">
      <w:pPr>
        <w:jc w:val="both"/>
        <w:rPr>
          <w:b/>
          <w:bCs/>
          <w:color w:val="ED7D31" w:themeColor="accent2"/>
        </w:rPr>
      </w:pPr>
      <w:r w:rsidRPr="009109E2">
        <w:rPr>
          <w:b/>
          <w:bCs/>
        </w:rPr>
        <w:lastRenderedPageBreak/>
        <w:t xml:space="preserve">Article 4. </w:t>
      </w:r>
      <w:r w:rsidR="009109E2" w:rsidRPr="009109E2">
        <w:rPr>
          <w:b/>
          <w:bCs/>
        </w:rPr>
        <w:t>Montant de la subvention</w:t>
      </w:r>
    </w:p>
    <w:p w14:paraId="19F6E7A9" w14:textId="69EACDDA" w:rsidR="00541024" w:rsidRPr="008D3608" w:rsidRDefault="00541024" w:rsidP="00541024">
      <w:pPr>
        <w:jc w:val="both"/>
      </w:pPr>
      <w:r>
        <w:t>L’action ‘Appel à</w:t>
      </w:r>
      <w:r w:rsidR="00047A79">
        <w:t xml:space="preserve"> projets – Le talent des jeunes</w:t>
      </w:r>
      <w:r>
        <w:t>’ prend part au projet de programme d</w:t>
      </w:r>
      <w:r w:rsidR="00F477EF">
        <w:t>e</w:t>
      </w:r>
      <w:r>
        <w:t xml:space="preserve"> Contrat </w:t>
      </w:r>
      <w:r w:rsidR="00047A79">
        <w:t>École Quartier ‘</w:t>
      </w:r>
      <w:proofErr w:type="spellStart"/>
      <w:r w:rsidR="001B480A">
        <w:t>Toots</w:t>
      </w:r>
      <w:proofErr w:type="spellEnd"/>
      <w:r w:rsidR="001B480A">
        <w:t xml:space="preserve"> Thielemans</w:t>
      </w:r>
      <w:r>
        <w:t>’</w:t>
      </w:r>
      <w:r w:rsidRPr="008D3608">
        <w:t>. L</w:t>
      </w:r>
      <w:r w:rsidR="008D3608" w:rsidRPr="008D3608">
        <w:t>e budget total du subside est de 5</w:t>
      </w:r>
      <w:r w:rsidR="00F91789">
        <w:t>0</w:t>
      </w:r>
      <w:r w:rsidR="008D3608" w:rsidRPr="008D3608">
        <w:t xml:space="preserve">.000 </w:t>
      </w:r>
      <w:proofErr w:type="gramStart"/>
      <w:r w:rsidR="008D3608" w:rsidRPr="008D3608">
        <w:t>euro</w:t>
      </w:r>
      <w:proofErr w:type="gramEnd"/>
      <w:r w:rsidR="008D3608" w:rsidRPr="008D3608">
        <w:t xml:space="preserve"> pour </w:t>
      </w:r>
      <w:r w:rsidR="00F91789">
        <w:t>les 4</w:t>
      </w:r>
      <w:r w:rsidR="008D3608" w:rsidRPr="008D3608">
        <w:t xml:space="preserve"> année</w:t>
      </w:r>
      <w:r w:rsidR="00F91789">
        <w:t>s, soit 15.000 euro par année</w:t>
      </w:r>
      <w:r w:rsidR="008D3608" w:rsidRPr="008D3608">
        <w:t xml:space="preserve"> scolaire</w:t>
      </w:r>
      <w:r w:rsidR="00F91789">
        <w:t xml:space="preserve"> et 5.000 euro pour les 4 derniers mois. </w:t>
      </w:r>
    </w:p>
    <w:p w14:paraId="30220A13" w14:textId="77777777" w:rsidR="00541024" w:rsidRDefault="008D3608" w:rsidP="00541024">
      <w:pPr>
        <w:jc w:val="both"/>
      </w:pPr>
      <w:r w:rsidRPr="008D3608">
        <w:t>Ce subside sera mis à la disposition du porteur de projet par le Collège des Bourgmestre et Echevins pour la réalisation de l’action ‘Le talent des jeunes’</w:t>
      </w:r>
      <w:r w:rsidR="00541024" w:rsidRPr="008D3608">
        <w:t>.</w:t>
      </w:r>
      <w:r w:rsidR="00541024">
        <w:t xml:space="preserve"> </w:t>
      </w:r>
    </w:p>
    <w:p w14:paraId="24E93FEA" w14:textId="77777777" w:rsidR="00541024" w:rsidRDefault="00541024" w:rsidP="00541024">
      <w:pPr>
        <w:jc w:val="both"/>
      </w:pPr>
    </w:p>
    <w:p w14:paraId="2345B2A6" w14:textId="77777777" w:rsidR="00A04E9D" w:rsidRDefault="00541024" w:rsidP="00541024">
      <w:pPr>
        <w:jc w:val="both"/>
        <w:rPr>
          <w:b/>
          <w:bCs/>
        </w:rPr>
      </w:pPr>
      <w:r w:rsidRPr="003C258F">
        <w:rPr>
          <w:b/>
          <w:bCs/>
        </w:rPr>
        <w:t xml:space="preserve">Article </w:t>
      </w:r>
      <w:r>
        <w:rPr>
          <w:b/>
          <w:bCs/>
        </w:rPr>
        <w:t>5</w:t>
      </w:r>
      <w:r w:rsidRPr="003C258F">
        <w:rPr>
          <w:b/>
          <w:bCs/>
        </w:rPr>
        <w:t xml:space="preserve">. </w:t>
      </w:r>
      <w:r w:rsidR="00A04E9D">
        <w:rPr>
          <w:b/>
          <w:bCs/>
        </w:rPr>
        <w:t>Dépenses autorisées</w:t>
      </w:r>
    </w:p>
    <w:p w14:paraId="43E35E73" w14:textId="1B001CF9" w:rsidR="00A04E9D" w:rsidRDefault="00A04E9D" w:rsidP="00A04E9D">
      <w:r w:rsidRPr="00F91789">
        <w:t xml:space="preserve">Les frais de fonctionnement et de </w:t>
      </w:r>
      <w:r w:rsidR="00F91789" w:rsidRPr="00F91789">
        <w:t>petits investissement</w:t>
      </w:r>
      <w:r w:rsidR="00F91789">
        <w:t>s</w:t>
      </w:r>
      <w:r w:rsidR="00F91789" w:rsidRPr="00F91789">
        <w:t xml:space="preserve"> </w:t>
      </w:r>
      <w:r w:rsidRPr="00F91789">
        <w:t>seront pris en compte. Toute modification de dépenses sera soumise à l’approbation du Collège des Bourgmestre et Echevins.</w:t>
      </w:r>
      <w:r>
        <w:t xml:space="preserve"> </w:t>
      </w:r>
    </w:p>
    <w:p w14:paraId="04AB3AF2" w14:textId="77777777" w:rsidR="00A04E9D" w:rsidRDefault="00A04E9D" w:rsidP="00A04E9D"/>
    <w:p w14:paraId="38010F3C" w14:textId="77777777" w:rsidR="00541024" w:rsidRPr="003C258F" w:rsidRDefault="00A04E9D" w:rsidP="00541024">
      <w:pPr>
        <w:jc w:val="both"/>
        <w:rPr>
          <w:b/>
          <w:bCs/>
        </w:rPr>
      </w:pPr>
      <w:r>
        <w:rPr>
          <w:b/>
          <w:bCs/>
        </w:rPr>
        <w:t xml:space="preserve">Article 6. </w:t>
      </w:r>
      <w:r w:rsidR="00541024" w:rsidRPr="003C258F">
        <w:rPr>
          <w:b/>
          <w:bCs/>
        </w:rPr>
        <w:t>Modalités de paiement</w:t>
      </w:r>
    </w:p>
    <w:p w14:paraId="1BB248EA" w14:textId="7B29D44B" w:rsidR="00541024" w:rsidRDefault="00541024" w:rsidP="00541024">
      <w:pPr>
        <w:jc w:val="both"/>
      </w:pPr>
      <w:r>
        <w:t xml:space="preserve">La Commune liquide un acompte à concurrence de 70% du </w:t>
      </w:r>
      <w:r w:rsidR="00F91789">
        <w:t>budget</w:t>
      </w:r>
      <w:r>
        <w:t xml:space="preserve"> prévu. </w:t>
      </w:r>
    </w:p>
    <w:p w14:paraId="21A403DD" w14:textId="5CAA3DD2" w:rsidR="00541024" w:rsidRDefault="00541024" w:rsidP="00541024">
      <w:pPr>
        <w:jc w:val="both"/>
      </w:pPr>
      <w:r>
        <w:t>Le solde de la subvention est liquidé après approbation par le Collège des Bourgmestre et Echevins, sur présentation des documents suivants :</w:t>
      </w:r>
    </w:p>
    <w:p w14:paraId="2C34FA5F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 w:rsidRPr="001E6B90">
        <w:rPr>
          <w:b/>
          <w:bCs/>
        </w:rPr>
        <w:t>Un rapport financier et d’activités</w:t>
      </w:r>
      <w:r>
        <w:t xml:space="preserve"> : </w:t>
      </w:r>
    </w:p>
    <w:p w14:paraId="0775D420" w14:textId="458F99AB" w:rsidR="00541024" w:rsidRDefault="00541024" w:rsidP="00541024">
      <w:pPr>
        <w:pStyle w:val="Paragraphedeliste"/>
        <w:numPr>
          <w:ilvl w:val="0"/>
          <w:numId w:val="3"/>
        </w:numPr>
        <w:jc w:val="both"/>
      </w:pPr>
      <w:r>
        <w:t xml:space="preserve">Le bénéficiaire s’engage à transmettre un rapport </w:t>
      </w:r>
      <w:r w:rsidR="00F91789">
        <w:t>final</w:t>
      </w:r>
      <w:r>
        <w:t xml:space="preserve"> définissant l’état d’avancement et le financement du projet. Le rapport détaille les actions réalisées et les dépenses précisées et justifiées. </w:t>
      </w:r>
    </w:p>
    <w:p w14:paraId="4E577949" w14:textId="77777777" w:rsidR="00541024" w:rsidRDefault="00541024" w:rsidP="00541024">
      <w:pPr>
        <w:pStyle w:val="Paragraphedeliste"/>
        <w:numPr>
          <w:ilvl w:val="0"/>
          <w:numId w:val="3"/>
        </w:numPr>
        <w:jc w:val="both"/>
      </w:pPr>
      <w:r>
        <w:t xml:space="preserve">Toute dépense doit être justifiée par une facture dûment acquittée ou par tout autre document probant. Ces pièces justificatives doivent être numérotées et reprises sur une liste certifiée « vraie et sincère » par une personne habilitée. Les frais doivent être transmis sur fichier tableur. </w:t>
      </w:r>
    </w:p>
    <w:p w14:paraId="0CD4BF10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 w:rsidRPr="00454929">
        <w:rPr>
          <w:b/>
          <w:bCs/>
        </w:rPr>
        <w:t>Les statuts de l’ASBL</w:t>
      </w:r>
      <w:r>
        <w:t xml:space="preserve"> (si les candidats sont constitués comme tels) : </w:t>
      </w:r>
    </w:p>
    <w:p w14:paraId="58B27E9C" w14:textId="77777777" w:rsidR="00541024" w:rsidRDefault="00541024" w:rsidP="00541024">
      <w:pPr>
        <w:pStyle w:val="Paragraphedeliste"/>
        <w:numPr>
          <w:ilvl w:val="0"/>
          <w:numId w:val="4"/>
        </w:numPr>
        <w:jc w:val="both"/>
      </w:pPr>
      <w:r>
        <w:t xml:space="preserve">Le bénéficiaire s’engage à transmettre la dernière version des statuts coordonnés en vigueur, tels que publiés au Moniteur belge. </w:t>
      </w:r>
    </w:p>
    <w:p w14:paraId="52B0108B" w14:textId="77777777" w:rsidR="00541024" w:rsidRDefault="00541024" w:rsidP="00541024">
      <w:pPr>
        <w:pStyle w:val="Paragraphedeliste"/>
        <w:numPr>
          <w:ilvl w:val="0"/>
          <w:numId w:val="4"/>
        </w:numPr>
        <w:jc w:val="both"/>
      </w:pPr>
      <w:r>
        <w:t xml:space="preserve">Le bénéficiaire doit avertir la Commune de toute modification ultérieure de ceux-ci. </w:t>
      </w:r>
    </w:p>
    <w:p w14:paraId="47779796" w14:textId="77777777" w:rsidR="00541024" w:rsidRDefault="00541024" w:rsidP="00541024">
      <w:pPr>
        <w:jc w:val="both"/>
      </w:pPr>
    </w:p>
    <w:p w14:paraId="51FF2F55" w14:textId="77777777" w:rsidR="00541024" w:rsidRPr="006B7404" w:rsidRDefault="00541024" w:rsidP="00541024">
      <w:pPr>
        <w:jc w:val="both"/>
        <w:rPr>
          <w:b/>
          <w:bCs/>
        </w:rPr>
      </w:pPr>
      <w:r w:rsidRPr="006B7404">
        <w:rPr>
          <w:b/>
          <w:bCs/>
        </w:rPr>
        <w:t xml:space="preserve">Article </w:t>
      </w:r>
      <w:r w:rsidR="00A04E9D">
        <w:rPr>
          <w:b/>
          <w:bCs/>
        </w:rPr>
        <w:t>7</w:t>
      </w:r>
      <w:r w:rsidRPr="006B7404">
        <w:rPr>
          <w:b/>
          <w:bCs/>
        </w:rPr>
        <w:t>. Conditions de recevabilité des candidatures</w:t>
      </w:r>
    </w:p>
    <w:p w14:paraId="45C7A18D" w14:textId="77777777" w:rsidR="00541024" w:rsidRDefault="00541024" w:rsidP="00541024">
      <w:pPr>
        <w:jc w:val="both"/>
      </w:pPr>
      <w:r>
        <w:t xml:space="preserve">Les candidatures seront analysées si elles respectent les conditions suivantes : </w:t>
      </w:r>
    </w:p>
    <w:p w14:paraId="168D779D" w14:textId="3687E108" w:rsidR="00541024" w:rsidRPr="00C00E4B" w:rsidRDefault="00F91789" w:rsidP="00541024">
      <w:pPr>
        <w:pStyle w:val="Paragraphedeliste"/>
        <w:numPr>
          <w:ilvl w:val="0"/>
          <w:numId w:val="5"/>
        </w:numPr>
        <w:jc w:val="both"/>
      </w:pPr>
      <w:r>
        <w:t>E</w:t>
      </w:r>
      <w:r w:rsidR="00541024" w:rsidRPr="00C00E4B">
        <w:t>lles sont introduites par des acteurs impliqués et actifs dans le quartier, à savoir : un g</w:t>
      </w:r>
      <w:r w:rsidR="00535A2C" w:rsidRPr="00C00E4B">
        <w:t>roupement d’au moins 3 personnes</w:t>
      </w:r>
      <w:r w:rsidR="00541024" w:rsidRPr="00C00E4B">
        <w:t>, une association de droit commun ou un organisme</w:t>
      </w:r>
      <w:r w:rsidR="00535A2C" w:rsidRPr="00C00E4B">
        <w:t>.</w:t>
      </w:r>
    </w:p>
    <w:p w14:paraId="4C329043" w14:textId="77777777" w:rsidR="00541024" w:rsidRPr="00C00E4B" w:rsidRDefault="00541024" w:rsidP="00541024">
      <w:pPr>
        <w:pStyle w:val="Paragraphedeliste"/>
        <w:numPr>
          <w:ilvl w:val="0"/>
          <w:numId w:val="5"/>
        </w:numPr>
        <w:jc w:val="both"/>
      </w:pPr>
      <w:r w:rsidRPr="00C00E4B">
        <w:t xml:space="preserve">Le projet doit se réaliser au </w:t>
      </w:r>
      <w:r w:rsidR="001B480A" w:rsidRPr="00C00E4B">
        <w:t xml:space="preserve">sein du périmètre du Contrat École </w:t>
      </w:r>
      <w:r w:rsidRPr="00C00E4B">
        <w:t>‘</w:t>
      </w:r>
      <w:proofErr w:type="spellStart"/>
      <w:r w:rsidR="001B480A" w:rsidRPr="00C00E4B">
        <w:t>Toots</w:t>
      </w:r>
      <w:proofErr w:type="spellEnd"/>
      <w:r w:rsidR="001B480A" w:rsidRPr="00C00E4B">
        <w:t xml:space="preserve"> Thieleman</w:t>
      </w:r>
      <w:r w:rsidRPr="00C00E4B">
        <w:t xml:space="preserve">s’. </w:t>
      </w:r>
    </w:p>
    <w:p w14:paraId="4AD52618" w14:textId="357689CB" w:rsidR="00541024" w:rsidRPr="00C00E4B" w:rsidRDefault="00541024" w:rsidP="00541024">
      <w:pPr>
        <w:pStyle w:val="Paragraphedeliste"/>
        <w:numPr>
          <w:ilvl w:val="0"/>
          <w:numId w:val="5"/>
        </w:numPr>
        <w:jc w:val="both"/>
      </w:pPr>
      <w:r w:rsidRPr="00C00E4B">
        <w:t>Toute occupation doit respecter les lois et règlements communaux en vigueur et les direct</w:t>
      </w:r>
      <w:r w:rsidR="00F91789">
        <w:t xml:space="preserve">ives </w:t>
      </w:r>
      <w:r w:rsidRPr="00C00E4B">
        <w:t>de la Région de Bruxelles-Capitale.</w:t>
      </w:r>
    </w:p>
    <w:p w14:paraId="6E2332B2" w14:textId="68DB069C" w:rsidR="00541024" w:rsidRDefault="00541024" w:rsidP="00541024">
      <w:pPr>
        <w:pStyle w:val="Paragraphedeliste"/>
        <w:numPr>
          <w:ilvl w:val="0"/>
          <w:numId w:val="5"/>
        </w:numPr>
        <w:jc w:val="both"/>
      </w:pPr>
      <w:r>
        <w:t>Les initiatives proposées doivent s’inscrire dans les objectifs et l</w:t>
      </w:r>
      <w:r w:rsidR="00F91789">
        <w:t>a</w:t>
      </w:r>
      <w:r>
        <w:t xml:space="preserve"> condition de réussite de l’appel à projets ‘</w:t>
      </w:r>
      <w:r w:rsidR="001B480A">
        <w:t>Le talent des jeunes</w:t>
      </w:r>
      <w:r>
        <w:t xml:space="preserve">’. </w:t>
      </w:r>
    </w:p>
    <w:p w14:paraId="575CB78C" w14:textId="77777777" w:rsidR="00541024" w:rsidRDefault="00541024" w:rsidP="00541024">
      <w:pPr>
        <w:pStyle w:val="Paragraphedeliste"/>
        <w:numPr>
          <w:ilvl w:val="0"/>
          <w:numId w:val="5"/>
        </w:numPr>
        <w:jc w:val="both"/>
      </w:pPr>
      <w:r>
        <w:t xml:space="preserve">Le dossier de candidature doit être rempli rigoureusement. </w:t>
      </w:r>
    </w:p>
    <w:p w14:paraId="1AFA4A75" w14:textId="77777777" w:rsidR="00541024" w:rsidRDefault="00541024" w:rsidP="00541024">
      <w:pPr>
        <w:jc w:val="both"/>
      </w:pPr>
    </w:p>
    <w:p w14:paraId="0F0720C1" w14:textId="77777777" w:rsidR="00541024" w:rsidRPr="00262523" w:rsidRDefault="00541024" w:rsidP="00541024">
      <w:pPr>
        <w:jc w:val="both"/>
        <w:rPr>
          <w:b/>
          <w:bCs/>
        </w:rPr>
      </w:pPr>
      <w:r w:rsidRPr="00B3067F">
        <w:rPr>
          <w:b/>
          <w:bCs/>
        </w:rPr>
        <w:lastRenderedPageBreak/>
        <w:t xml:space="preserve">Article </w:t>
      </w:r>
      <w:r w:rsidR="00A04E9D">
        <w:rPr>
          <w:b/>
          <w:bCs/>
        </w:rPr>
        <w:t>8</w:t>
      </w:r>
      <w:r w:rsidRPr="00B3067F">
        <w:rPr>
          <w:b/>
          <w:bCs/>
        </w:rPr>
        <w:t xml:space="preserve">. </w:t>
      </w:r>
      <w:r>
        <w:rPr>
          <w:b/>
          <w:bCs/>
        </w:rPr>
        <w:t>Critères</w:t>
      </w:r>
      <w:r w:rsidRPr="00B3067F">
        <w:rPr>
          <w:b/>
          <w:bCs/>
        </w:rPr>
        <w:t xml:space="preserve"> de sélection </w:t>
      </w:r>
    </w:p>
    <w:p w14:paraId="1F805313" w14:textId="77777777" w:rsidR="00541024" w:rsidRDefault="00541024" w:rsidP="00541024">
      <w:pPr>
        <w:jc w:val="both"/>
      </w:pPr>
      <w:r>
        <w:t xml:space="preserve">Les initiatives proposées seront retenues selon les critères suivants : </w:t>
      </w:r>
    </w:p>
    <w:p w14:paraId="18FFB3E8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>
        <w:t xml:space="preserve">Le réalisme et la pertinence du projet par rapport aux objectifs, aux règlements en vigueur, au </w:t>
      </w:r>
      <w:proofErr w:type="gramStart"/>
      <w:r>
        <w:t>timing</w:t>
      </w:r>
      <w:proofErr w:type="gramEnd"/>
      <w:r>
        <w:t xml:space="preserve"> et au budget ;</w:t>
      </w:r>
    </w:p>
    <w:p w14:paraId="24A58102" w14:textId="77777777" w:rsidR="00541024" w:rsidRDefault="00541024" w:rsidP="00541024">
      <w:pPr>
        <w:pStyle w:val="Paragraphedeliste"/>
        <w:numPr>
          <w:ilvl w:val="0"/>
          <w:numId w:val="2"/>
        </w:numPr>
        <w:jc w:val="both"/>
      </w:pPr>
      <w:r>
        <w:t xml:space="preserve">La participation active des </w:t>
      </w:r>
      <w:r w:rsidR="000823CA">
        <w:t xml:space="preserve">élèves de l’école secondaire Athénée Royal </w:t>
      </w:r>
      <w:proofErr w:type="spellStart"/>
      <w:r w:rsidR="000823CA">
        <w:t>Toots</w:t>
      </w:r>
      <w:proofErr w:type="spellEnd"/>
      <w:r w:rsidR="000823CA">
        <w:t xml:space="preserve"> Thielemans</w:t>
      </w:r>
      <w:r>
        <w:t xml:space="preserve"> </w:t>
      </w:r>
      <w:r w:rsidRPr="00A04E9D">
        <w:t>ainsi que l’implication de</w:t>
      </w:r>
      <w:r w:rsidR="000823CA" w:rsidRPr="00A04E9D">
        <w:t xml:space="preserve">s citoyens et acteurs du </w:t>
      </w:r>
      <w:r w:rsidRPr="00A04E9D">
        <w:t>quartier</w:t>
      </w:r>
      <w:r>
        <w:t> ;</w:t>
      </w:r>
    </w:p>
    <w:p w14:paraId="7C52E644" w14:textId="77777777" w:rsidR="00541024" w:rsidRDefault="00541024" w:rsidP="00541024">
      <w:pPr>
        <w:jc w:val="both"/>
      </w:pPr>
    </w:p>
    <w:p w14:paraId="1358B5EB" w14:textId="77777777" w:rsidR="00541024" w:rsidRPr="00F74CBE" w:rsidRDefault="00541024" w:rsidP="00541024">
      <w:pPr>
        <w:jc w:val="both"/>
        <w:rPr>
          <w:b/>
          <w:bCs/>
        </w:rPr>
      </w:pPr>
      <w:r w:rsidRPr="00F74CBE">
        <w:rPr>
          <w:b/>
          <w:bCs/>
        </w:rPr>
        <w:t>Article 9. Procédures</w:t>
      </w:r>
    </w:p>
    <w:p w14:paraId="4D47AB8C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L’appel à projets est diffusé via les différents moyens de communication, notamment le site internet de la Commune. </w:t>
      </w:r>
    </w:p>
    <w:p w14:paraId="518CF605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>Le formulaire de candidature doit être complété rigoureusement et remis par mail (</w:t>
      </w:r>
      <w:hyperlink r:id="rId7" w:history="1">
        <w:r w:rsidR="00603D26" w:rsidRPr="00BA0DEC">
          <w:rPr>
            <w:rStyle w:val="Lienhypertexte"/>
          </w:rPr>
          <w:t>bkesteloot@molenbeek.irisnet.be</w:t>
        </w:r>
      </w:hyperlink>
      <w:r w:rsidR="00A04E9D">
        <w:t xml:space="preserve">) pour le </w:t>
      </w:r>
      <w:r w:rsidR="006444B6">
        <w:t xml:space="preserve">9 </w:t>
      </w:r>
      <w:r w:rsidR="00A04E9D">
        <w:t>septembre</w:t>
      </w:r>
      <w:r w:rsidR="006444B6">
        <w:t xml:space="preserve"> 2022</w:t>
      </w:r>
      <w:r>
        <w:t>. Un accusé de réception sera</w:t>
      </w:r>
      <w:r w:rsidR="006444B6">
        <w:t xml:space="preserve"> envoyé par mail aux candidats.</w:t>
      </w:r>
    </w:p>
    <w:p w14:paraId="27C707B1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Le Département Infrastructures et Développement urbain examine si les dossiers sont conformes au règlement et les transmet aux membres du jury pour examen. </w:t>
      </w:r>
    </w:p>
    <w:p w14:paraId="197EDE08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Le jury sélectionne le(s) lauréat(s) annuellement à la suite d’une rencontre avec le(s) porteur(s) de projets. </w:t>
      </w:r>
    </w:p>
    <w:p w14:paraId="33188C62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>
        <w:t xml:space="preserve">Le Collège des Bourgmestre et Echevins désigne le(s) lauréat(s) sélectionné(s) sur proposition du jury. </w:t>
      </w:r>
    </w:p>
    <w:p w14:paraId="4FCE5D46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 w:rsidRPr="00427B1E">
        <w:t>Le(s) lauréat(s) son</w:t>
      </w:r>
      <w:r>
        <w:t xml:space="preserve">t informé(s) officiellement de leur sélection et sont invité(s) à démarrer leur projet conformément au programme et au budget du projet approuvé. </w:t>
      </w:r>
    </w:p>
    <w:p w14:paraId="3ADD1FD2" w14:textId="77777777" w:rsidR="00541024" w:rsidRDefault="00541024" w:rsidP="00541024">
      <w:pPr>
        <w:pStyle w:val="Paragraphedeliste"/>
        <w:numPr>
          <w:ilvl w:val="0"/>
          <w:numId w:val="8"/>
        </w:numPr>
        <w:jc w:val="both"/>
      </w:pPr>
      <w:r w:rsidRPr="00427B1E">
        <w:t>Le(s) lauréat(s) doit</w:t>
      </w:r>
      <w:r>
        <w:t xml:space="preserve">/doivent faire parvenir un rapport d’activité et un rapport financier sur l’élaboration et la réalisation du projet, ainsi que rentrer les factures et preuves de paiements afférentes au projet. </w:t>
      </w:r>
    </w:p>
    <w:p w14:paraId="501A8983" w14:textId="16032839" w:rsidR="00541024" w:rsidRDefault="00541024" w:rsidP="00541024">
      <w:pPr>
        <w:pStyle w:val="Paragraphedeliste"/>
        <w:numPr>
          <w:ilvl w:val="0"/>
          <w:numId w:val="8"/>
        </w:numPr>
        <w:jc w:val="both"/>
      </w:pPr>
      <w:r w:rsidRPr="00B03587">
        <w:t>Le(s) lauréat(s) s’engage(nt) à</w:t>
      </w:r>
      <w:r>
        <w:t xml:space="preserve"> présenter leur projet, après réalisation, en invitant </w:t>
      </w:r>
      <w:r w:rsidR="00BB5AB2">
        <w:t xml:space="preserve">les élèves de l’école et </w:t>
      </w:r>
      <w:r>
        <w:t xml:space="preserve">les habitants du quartier et les membres du jury. </w:t>
      </w:r>
    </w:p>
    <w:p w14:paraId="251A58B5" w14:textId="77777777" w:rsidR="00541024" w:rsidRDefault="00541024" w:rsidP="00541024">
      <w:pPr>
        <w:jc w:val="both"/>
      </w:pPr>
    </w:p>
    <w:p w14:paraId="7EC9E3BA" w14:textId="77777777" w:rsidR="00541024" w:rsidRPr="004D5F40" w:rsidRDefault="00541024" w:rsidP="00541024">
      <w:pPr>
        <w:jc w:val="both"/>
        <w:rPr>
          <w:b/>
          <w:bCs/>
        </w:rPr>
      </w:pPr>
      <w:r w:rsidRPr="004D5F40">
        <w:rPr>
          <w:b/>
          <w:bCs/>
        </w:rPr>
        <w:t>Article 1</w:t>
      </w:r>
      <w:r>
        <w:rPr>
          <w:b/>
          <w:bCs/>
        </w:rPr>
        <w:t>0</w:t>
      </w:r>
      <w:r w:rsidRPr="004D5F40">
        <w:rPr>
          <w:b/>
          <w:bCs/>
        </w:rPr>
        <w:t>. Utilisation de la subvention</w:t>
      </w:r>
    </w:p>
    <w:p w14:paraId="22325DD1" w14:textId="77777777" w:rsidR="00541024" w:rsidRDefault="00541024" w:rsidP="00541024">
      <w:pPr>
        <w:jc w:val="both"/>
      </w:pPr>
      <w:r>
        <w:t xml:space="preserve">Pour tout élément non précisé dans le présent règlement, il y a lieu d’appliquer la loi du 14 novembre 1983 relative au contrôle de l’octroi et de l’emploi des subventions accordées par les communes. </w:t>
      </w:r>
    </w:p>
    <w:p w14:paraId="0145EF86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Tout bénéficiaire de la subvention accordée doit l’utiliser aux fins pour lesquelles elle a été octroyée. </w:t>
      </w:r>
    </w:p>
    <w:p w14:paraId="73029DED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Le bénéficiaire s’engage à respecter scrupuleusement les délais ainsi que les remises de pièces justificatives. </w:t>
      </w:r>
    </w:p>
    <w:p w14:paraId="46717A6B" w14:textId="77777777" w:rsidR="00541024" w:rsidRPr="000823CA" w:rsidRDefault="00541024" w:rsidP="00541024">
      <w:pPr>
        <w:pStyle w:val="Paragraphedeliste"/>
        <w:numPr>
          <w:ilvl w:val="0"/>
          <w:numId w:val="10"/>
        </w:numPr>
        <w:jc w:val="both"/>
      </w:pPr>
      <w:r w:rsidRPr="000823CA">
        <w:t xml:space="preserve">Les pouvoirs </w:t>
      </w:r>
      <w:r w:rsidR="00F31319" w:rsidRPr="000823CA">
        <w:t>subsidiant</w:t>
      </w:r>
      <w:r w:rsidRPr="000823CA">
        <w:t xml:space="preserve"> se réservent le droit de faire procéder sur place au contrôle de l’emploi de la subvention accordée. </w:t>
      </w:r>
    </w:p>
    <w:p w14:paraId="0A7240DA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Le matériel mobile, acheté avec le budget de la subvention sera, dans le cas où il n’est pas ou plus utilisé dans le cadre du projet, remis aux pouvoirs </w:t>
      </w:r>
      <w:r w:rsidR="000823CA">
        <w:t>subsidiant</w:t>
      </w:r>
      <w:r>
        <w:t xml:space="preserve"> qui le mettra à disposition d’autres associations. </w:t>
      </w:r>
    </w:p>
    <w:p w14:paraId="5C2EA6D6" w14:textId="77777777" w:rsidR="00541024" w:rsidRDefault="00541024" w:rsidP="00541024">
      <w:pPr>
        <w:pStyle w:val="Paragraphedeliste"/>
        <w:numPr>
          <w:ilvl w:val="0"/>
          <w:numId w:val="10"/>
        </w:numPr>
        <w:jc w:val="both"/>
      </w:pPr>
      <w:r>
        <w:t xml:space="preserve">Le bénéficiaire d’une subvention est tenu de rembourser celle-ci dans les cas où : </w:t>
      </w:r>
    </w:p>
    <w:p w14:paraId="04C35010" w14:textId="77777777" w:rsidR="00541024" w:rsidRDefault="00541024" w:rsidP="00541024">
      <w:pPr>
        <w:pStyle w:val="Paragraphedeliste"/>
        <w:numPr>
          <w:ilvl w:val="0"/>
          <w:numId w:val="11"/>
        </w:numPr>
        <w:jc w:val="both"/>
      </w:pPr>
      <w:r>
        <w:t>Il n’utilise pas les subventions aux fins prévues ;</w:t>
      </w:r>
    </w:p>
    <w:p w14:paraId="53E33401" w14:textId="77777777" w:rsidR="00541024" w:rsidRDefault="00541024" w:rsidP="00541024">
      <w:pPr>
        <w:pStyle w:val="Paragraphedeliste"/>
        <w:numPr>
          <w:ilvl w:val="0"/>
          <w:numId w:val="11"/>
        </w:numPr>
        <w:jc w:val="both"/>
      </w:pPr>
      <w:r>
        <w:lastRenderedPageBreak/>
        <w:t>Il ne fournit pas les justifications demandées dans les délais fixés par le présent règlement ;</w:t>
      </w:r>
    </w:p>
    <w:p w14:paraId="4E4EDB0F" w14:textId="77777777" w:rsidR="00541024" w:rsidRPr="000823CA" w:rsidRDefault="00541024" w:rsidP="00541024">
      <w:pPr>
        <w:pStyle w:val="Paragraphedeliste"/>
        <w:numPr>
          <w:ilvl w:val="0"/>
          <w:numId w:val="11"/>
        </w:numPr>
        <w:jc w:val="both"/>
      </w:pPr>
      <w:r w:rsidRPr="000823CA">
        <w:t xml:space="preserve">Il s’oppose à l’exercice du contrôle. </w:t>
      </w:r>
    </w:p>
    <w:p w14:paraId="4236C057" w14:textId="77777777" w:rsidR="00541024" w:rsidRDefault="00541024" w:rsidP="00541024">
      <w:pPr>
        <w:pStyle w:val="Paragraphedeliste"/>
        <w:numPr>
          <w:ilvl w:val="0"/>
          <w:numId w:val="12"/>
        </w:numPr>
        <w:jc w:val="both"/>
      </w:pPr>
      <w:r>
        <w:t xml:space="preserve">Lorsque le bénéficiaire de la subvention reste en défaut de fournir les justifications demandées, il est tenu au remboursement à concurrence de la partie non justifiée. </w:t>
      </w:r>
    </w:p>
    <w:p w14:paraId="497DA70A" w14:textId="77777777" w:rsidR="00541024" w:rsidRPr="00B03587" w:rsidRDefault="00541024" w:rsidP="00541024">
      <w:pPr>
        <w:jc w:val="both"/>
      </w:pPr>
    </w:p>
    <w:p w14:paraId="747E17E0" w14:textId="77777777" w:rsidR="00541024" w:rsidRPr="00C730AD" w:rsidRDefault="00541024" w:rsidP="00541024">
      <w:pPr>
        <w:jc w:val="both"/>
        <w:rPr>
          <w:b/>
          <w:bCs/>
        </w:rPr>
      </w:pPr>
      <w:r w:rsidRPr="00C730AD">
        <w:rPr>
          <w:b/>
          <w:bCs/>
        </w:rPr>
        <w:t>Article 1</w:t>
      </w:r>
      <w:r>
        <w:rPr>
          <w:b/>
          <w:bCs/>
        </w:rPr>
        <w:t>1</w:t>
      </w:r>
      <w:r w:rsidRPr="00C730AD">
        <w:rPr>
          <w:b/>
          <w:bCs/>
        </w:rPr>
        <w:t xml:space="preserve">. Communication </w:t>
      </w:r>
    </w:p>
    <w:p w14:paraId="2466E623" w14:textId="77777777" w:rsidR="00541024" w:rsidRDefault="00541024" w:rsidP="00541024">
      <w:pPr>
        <w:pStyle w:val="Paragraphedeliste"/>
        <w:numPr>
          <w:ilvl w:val="0"/>
          <w:numId w:val="9"/>
        </w:numPr>
        <w:jc w:val="both"/>
      </w:pPr>
      <w:r>
        <w:t>Toute publicité ou publication en lien avec la réalisation du projet devra comporter le logo de la Commune</w:t>
      </w:r>
      <w:r w:rsidR="00D25E4D">
        <w:t>,</w:t>
      </w:r>
      <w:r>
        <w:t xml:space="preserve"> et celui de </w:t>
      </w:r>
      <w:r w:rsidR="00956ACE" w:rsidRPr="00BB5AB2">
        <w:t>Wallonie Bruxelles Enseignement et</w:t>
      </w:r>
      <w:r w:rsidR="00975DDA" w:rsidRPr="00BB5AB2">
        <w:t xml:space="preserve"> de </w:t>
      </w:r>
      <w:proofErr w:type="spellStart"/>
      <w:proofErr w:type="gramStart"/>
      <w:r w:rsidR="00975DDA" w:rsidRPr="00BB5AB2">
        <w:t>perspectives.brussels</w:t>
      </w:r>
      <w:proofErr w:type="spellEnd"/>
      <w:proofErr w:type="gramEnd"/>
      <w:r w:rsidRPr="00BB5AB2">
        <w:t>.</w:t>
      </w:r>
      <w:r w:rsidRPr="00D25E4D">
        <w:t xml:space="preserve"> </w:t>
      </w:r>
    </w:p>
    <w:p w14:paraId="1A9786A3" w14:textId="77777777" w:rsidR="00541024" w:rsidRDefault="00541024" w:rsidP="00541024">
      <w:pPr>
        <w:pStyle w:val="Paragraphedeliste"/>
        <w:numPr>
          <w:ilvl w:val="0"/>
          <w:numId w:val="9"/>
        </w:numPr>
        <w:jc w:val="both"/>
      </w:pPr>
      <w:r>
        <w:t xml:space="preserve">Les porteurs s’engagent à autoriser la visibilité de leur projet par des photos, publications, vidéos, et autres, qui peuvent être utilisées par la Commune ainsi que par la Région. </w:t>
      </w:r>
    </w:p>
    <w:p w14:paraId="4214DE5A" w14:textId="77777777" w:rsidR="00541024" w:rsidRDefault="00541024" w:rsidP="00541024">
      <w:pPr>
        <w:jc w:val="both"/>
      </w:pPr>
    </w:p>
    <w:p w14:paraId="35A2F2F2" w14:textId="77777777" w:rsidR="00541024" w:rsidRPr="00F86CE9" w:rsidRDefault="00541024" w:rsidP="00541024">
      <w:pPr>
        <w:jc w:val="both"/>
        <w:rPr>
          <w:b/>
          <w:bCs/>
        </w:rPr>
      </w:pPr>
      <w:r w:rsidRPr="00F86CE9">
        <w:rPr>
          <w:b/>
          <w:bCs/>
        </w:rPr>
        <w:t>Article 12. Non-exécution du projet</w:t>
      </w:r>
    </w:p>
    <w:p w14:paraId="474EF5FF" w14:textId="77777777" w:rsidR="00541024" w:rsidRDefault="00541024" w:rsidP="00541024">
      <w:pPr>
        <w:jc w:val="both"/>
      </w:pPr>
      <w:r>
        <w:t xml:space="preserve">En cas de non-exécution partielle du projet, les montants non dépensés seront réclamés par la Commune au responsable du projet. </w:t>
      </w:r>
    </w:p>
    <w:p w14:paraId="3B400770" w14:textId="77777777" w:rsidR="00541024" w:rsidRDefault="00541024" w:rsidP="00541024">
      <w:pPr>
        <w:jc w:val="both"/>
      </w:pPr>
      <w:r>
        <w:t xml:space="preserve">En cas de non-exécution totale du projet, la totalité des montants devra être remboursées à la Commune. </w:t>
      </w:r>
    </w:p>
    <w:p w14:paraId="226A1853" w14:textId="77777777" w:rsidR="00541024" w:rsidRDefault="00541024" w:rsidP="00541024">
      <w:pPr>
        <w:jc w:val="both"/>
      </w:pPr>
    </w:p>
    <w:p w14:paraId="5B33EA50" w14:textId="77777777" w:rsidR="00541024" w:rsidRPr="00F86CE9" w:rsidRDefault="00541024" w:rsidP="00541024">
      <w:pPr>
        <w:jc w:val="both"/>
        <w:rPr>
          <w:b/>
          <w:bCs/>
        </w:rPr>
      </w:pPr>
      <w:r w:rsidRPr="00F86CE9">
        <w:rPr>
          <w:b/>
          <w:bCs/>
        </w:rPr>
        <w:t>Article 13. Litiges</w:t>
      </w:r>
    </w:p>
    <w:p w14:paraId="71B0E7CF" w14:textId="77777777" w:rsidR="00541024" w:rsidRDefault="00541024" w:rsidP="00541024">
      <w:pPr>
        <w:jc w:val="both"/>
      </w:pPr>
      <w:r>
        <w:t xml:space="preserve">L’exactitude des données introduites ainsi que l’observation des prescrits peuvent à tout moment être vérifiées par un mandataire du Collège des Bourgmestre et Echevins. </w:t>
      </w:r>
    </w:p>
    <w:p w14:paraId="2AB9EDDB" w14:textId="77777777" w:rsidR="00541024" w:rsidRDefault="00541024" w:rsidP="00541024">
      <w:pPr>
        <w:jc w:val="both"/>
      </w:pPr>
      <w:r>
        <w:t xml:space="preserve">Un constat d’infraction peut amener à l’exclusion du présent subside et/ou au remboursement des subsides déjà accordés. </w:t>
      </w:r>
    </w:p>
    <w:p w14:paraId="39E6B590" w14:textId="77777777" w:rsidR="00541024" w:rsidRDefault="00541024" w:rsidP="00541024">
      <w:pPr>
        <w:jc w:val="both"/>
      </w:pPr>
      <w:r>
        <w:t xml:space="preserve">En cas de conflits, les Cours et Tribunaux de l’arrondissement judiciaire de Bruxelles sont exclusivement compétents pour régler tous les litiges relatifs au présent règlement. </w:t>
      </w:r>
    </w:p>
    <w:p w14:paraId="62D02855" w14:textId="77777777" w:rsidR="00541024" w:rsidRDefault="00541024" w:rsidP="00541024">
      <w:pPr>
        <w:jc w:val="both"/>
      </w:pPr>
    </w:p>
    <w:p w14:paraId="66A8289B" w14:textId="77777777" w:rsidR="00541024" w:rsidRPr="008A03C2" w:rsidRDefault="00541024" w:rsidP="00541024">
      <w:pPr>
        <w:jc w:val="both"/>
        <w:rPr>
          <w:b/>
          <w:bCs/>
        </w:rPr>
      </w:pPr>
      <w:r w:rsidRPr="008A03C2">
        <w:rPr>
          <w:b/>
          <w:bCs/>
        </w:rPr>
        <w:t>Personne de contact</w:t>
      </w:r>
    </w:p>
    <w:p w14:paraId="5C2AB971" w14:textId="77777777" w:rsidR="00080BAA" w:rsidRDefault="00080BAA" w:rsidP="00541024">
      <w:pPr>
        <w:jc w:val="both"/>
      </w:pPr>
      <w:r>
        <w:t>Kesteloot Baptiste</w:t>
      </w:r>
    </w:p>
    <w:p w14:paraId="6E191CE8" w14:textId="77777777" w:rsidR="00080BAA" w:rsidRDefault="00080BAA" w:rsidP="00541024">
      <w:pPr>
        <w:jc w:val="both"/>
      </w:pPr>
      <w:r>
        <w:t>Coordinateur École-Quartier</w:t>
      </w:r>
    </w:p>
    <w:p w14:paraId="5476EFF5" w14:textId="77777777" w:rsidR="00080BAA" w:rsidRDefault="00541024" w:rsidP="00541024">
      <w:pPr>
        <w:jc w:val="both"/>
      </w:pPr>
      <w:r>
        <w:t>Département Infrastructures et Développement urbain</w:t>
      </w:r>
    </w:p>
    <w:p w14:paraId="71E0779F" w14:textId="77777777" w:rsidR="00541024" w:rsidRDefault="00080BAA" w:rsidP="00541024">
      <w:pPr>
        <w:jc w:val="both"/>
      </w:pPr>
      <w:r>
        <w:t>Rue de l’intendant 63-65, 1080 Molenbeek-Saint-Jean</w:t>
      </w:r>
      <w:r w:rsidR="00541024">
        <w:t xml:space="preserve"> </w:t>
      </w:r>
    </w:p>
    <w:p w14:paraId="4B5A0500" w14:textId="77777777" w:rsidR="00541024" w:rsidRDefault="00541024" w:rsidP="00541024">
      <w:pPr>
        <w:jc w:val="both"/>
      </w:pPr>
      <w:r>
        <w:t>Rue du Comte de Flandre 20, 1080 Molenbeek-Saint-Jean</w:t>
      </w:r>
    </w:p>
    <w:p w14:paraId="577E9CC0" w14:textId="6C4658F9" w:rsidR="00541024" w:rsidRDefault="00541024" w:rsidP="00541024">
      <w:pPr>
        <w:jc w:val="both"/>
      </w:pPr>
      <w:r>
        <w:t xml:space="preserve">Mail : </w:t>
      </w:r>
      <w:hyperlink r:id="rId8" w:history="1">
        <w:r w:rsidR="00080BAA" w:rsidRPr="00B45B58">
          <w:rPr>
            <w:rStyle w:val="Lienhypertexte"/>
          </w:rPr>
          <w:t>bkesteloot@molenbeek.irisnet.be</w:t>
        </w:r>
      </w:hyperlink>
      <w:r>
        <w:t xml:space="preserve"> – </w:t>
      </w:r>
      <w:r w:rsidRPr="00BB5AB2">
        <w:t xml:space="preserve">Tel. : 02 </w:t>
      </w:r>
      <w:r w:rsidR="00BB5AB2" w:rsidRPr="00BB5AB2">
        <w:t>600 49 44</w:t>
      </w:r>
    </w:p>
    <w:p w14:paraId="3A1CA73D" w14:textId="77777777" w:rsidR="00541024" w:rsidRDefault="00541024" w:rsidP="00541024">
      <w:pPr>
        <w:jc w:val="both"/>
      </w:pPr>
      <w:r w:rsidRPr="00894FC6">
        <w:rPr>
          <w:b/>
          <w:bCs/>
        </w:rPr>
        <w:t>Pour plus d’informations</w:t>
      </w:r>
      <w:r>
        <w:t> :</w:t>
      </w:r>
    </w:p>
    <w:p w14:paraId="7848A3AD" w14:textId="77777777" w:rsidR="00080BAA" w:rsidRDefault="00BB5AB2" w:rsidP="00541024">
      <w:pPr>
        <w:jc w:val="both"/>
      </w:pPr>
      <w:hyperlink r:id="rId9" w:history="1">
        <w:r w:rsidR="00080BAA" w:rsidRPr="00B45B58">
          <w:rPr>
            <w:rStyle w:val="Lienhypertexte"/>
          </w:rPr>
          <w:t>https://perspective.brussels/fr/projets/contrat-ecole/deuxieme-serie-2-contrats-ecole-pour-la-periode-2021-2025/contrat-ecole-toots-thielemans</w:t>
        </w:r>
      </w:hyperlink>
    </w:p>
    <w:p w14:paraId="15BC1FDB" w14:textId="77777777" w:rsidR="00A45B71" w:rsidRDefault="00BB5AB2" w:rsidP="00080BAA">
      <w:pPr>
        <w:jc w:val="both"/>
      </w:pPr>
      <w:hyperlink r:id="rId10" w:history="1">
        <w:r w:rsidR="00080BAA" w:rsidRPr="00B45B58">
          <w:rPr>
            <w:rStyle w:val="Lienhypertexte"/>
          </w:rPr>
          <w:t>https://perspective.brussels/sites/default/files/documents/contratecole_schoolcontract_tootsthielemans.pdf</w:t>
        </w:r>
      </w:hyperlink>
    </w:p>
    <w:sectPr w:rsidR="00A45B7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E96F" w14:textId="77777777" w:rsidR="00EE4C4C" w:rsidRDefault="00EE4C4C" w:rsidP="00A04E9D">
      <w:pPr>
        <w:spacing w:after="0" w:line="240" w:lineRule="auto"/>
      </w:pPr>
      <w:r>
        <w:separator/>
      </w:r>
    </w:p>
  </w:endnote>
  <w:endnote w:type="continuationSeparator" w:id="0">
    <w:p w14:paraId="69E7C0AB" w14:textId="77777777" w:rsidR="00EE4C4C" w:rsidRDefault="00EE4C4C" w:rsidP="00A0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537484"/>
      <w:docPartObj>
        <w:docPartGallery w:val="Page Numbers (Bottom of Page)"/>
        <w:docPartUnique/>
      </w:docPartObj>
    </w:sdtPr>
    <w:sdtContent>
      <w:p w14:paraId="43A8BB52" w14:textId="77F4E67D" w:rsidR="00F91789" w:rsidRDefault="00F917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2126979" w14:textId="77777777" w:rsidR="00F91789" w:rsidRDefault="00F917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DFB6" w14:textId="77777777" w:rsidR="00EE4C4C" w:rsidRDefault="00EE4C4C" w:rsidP="00A04E9D">
      <w:pPr>
        <w:spacing w:after="0" w:line="240" w:lineRule="auto"/>
      </w:pPr>
      <w:r>
        <w:separator/>
      </w:r>
    </w:p>
  </w:footnote>
  <w:footnote w:type="continuationSeparator" w:id="0">
    <w:p w14:paraId="474FF68A" w14:textId="77777777" w:rsidR="00EE4C4C" w:rsidRDefault="00EE4C4C" w:rsidP="00A0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DE5"/>
    <w:multiLevelType w:val="hybridMultilevel"/>
    <w:tmpl w:val="3496BA0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1DA7"/>
    <w:multiLevelType w:val="hybridMultilevel"/>
    <w:tmpl w:val="8BB4E9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C8E"/>
    <w:multiLevelType w:val="hybridMultilevel"/>
    <w:tmpl w:val="B844A67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2D90"/>
    <w:multiLevelType w:val="hybridMultilevel"/>
    <w:tmpl w:val="73363A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353B"/>
    <w:multiLevelType w:val="hybridMultilevel"/>
    <w:tmpl w:val="93D4C0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594D"/>
    <w:multiLevelType w:val="hybridMultilevel"/>
    <w:tmpl w:val="66925E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13B4"/>
    <w:multiLevelType w:val="hybridMultilevel"/>
    <w:tmpl w:val="074432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E314F"/>
    <w:multiLevelType w:val="hybridMultilevel"/>
    <w:tmpl w:val="E338A0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73DBB"/>
    <w:multiLevelType w:val="hybridMultilevel"/>
    <w:tmpl w:val="CBEA5E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4E2E"/>
    <w:multiLevelType w:val="hybridMultilevel"/>
    <w:tmpl w:val="06A687AA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7C1DC4"/>
    <w:multiLevelType w:val="hybridMultilevel"/>
    <w:tmpl w:val="60DC4752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156CD2"/>
    <w:multiLevelType w:val="hybridMultilevel"/>
    <w:tmpl w:val="ECA654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337"/>
    <w:multiLevelType w:val="hybridMultilevel"/>
    <w:tmpl w:val="E1B804F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6836200">
    <w:abstractNumId w:val="0"/>
  </w:num>
  <w:num w:numId="2" w16cid:durableId="899483495">
    <w:abstractNumId w:val="11"/>
  </w:num>
  <w:num w:numId="3" w16cid:durableId="1759129279">
    <w:abstractNumId w:val="12"/>
  </w:num>
  <w:num w:numId="4" w16cid:durableId="768045850">
    <w:abstractNumId w:val="9"/>
  </w:num>
  <w:num w:numId="5" w16cid:durableId="1263149712">
    <w:abstractNumId w:val="6"/>
  </w:num>
  <w:num w:numId="6" w16cid:durableId="988168980">
    <w:abstractNumId w:val="2"/>
  </w:num>
  <w:num w:numId="7" w16cid:durableId="164251232">
    <w:abstractNumId w:val="8"/>
  </w:num>
  <w:num w:numId="8" w16cid:durableId="1964996068">
    <w:abstractNumId w:val="4"/>
  </w:num>
  <w:num w:numId="9" w16cid:durableId="1819344982">
    <w:abstractNumId w:val="7"/>
  </w:num>
  <w:num w:numId="10" w16cid:durableId="1785884886">
    <w:abstractNumId w:val="3"/>
  </w:num>
  <w:num w:numId="11" w16cid:durableId="596330663">
    <w:abstractNumId w:val="10"/>
  </w:num>
  <w:num w:numId="12" w16cid:durableId="1838768960">
    <w:abstractNumId w:val="1"/>
  </w:num>
  <w:num w:numId="13" w16cid:durableId="260064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24"/>
    <w:rsid w:val="00047A79"/>
    <w:rsid w:val="00080BAA"/>
    <w:rsid w:val="000823CA"/>
    <w:rsid w:val="00096002"/>
    <w:rsid w:val="001B480A"/>
    <w:rsid w:val="001B553B"/>
    <w:rsid w:val="00204C65"/>
    <w:rsid w:val="00491176"/>
    <w:rsid w:val="004D2162"/>
    <w:rsid w:val="004F0C25"/>
    <w:rsid w:val="005237A6"/>
    <w:rsid w:val="00535A2C"/>
    <w:rsid w:val="00541024"/>
    <w:rsid w:val="005963FC"/>
    <w:rsid w:val="00603D26"/>
    <w:rsid w:val="006444B6"/>
    <w:rsid w:val="00661BCB"/>
    <w:rsid w:val="006E6A05"/>
    <w:rsid w:val="007B0D82"/>
    <w:rsid w:val="00864AC1"/>
    <w:rsid w:val="008B31CE"/>
    <w:rsid w:val="008D3608"/>
    <w:rsid w:val="009109E2"/>
    <w:rsid w:val="00932A5C"/>
    <w:rsid w:val="00956ACE"/>
    <w:rsid w:val="0096675D"/>
    <w:rsid w:val="00975DDA"/>
    <w:rsid w:val="00992F2D"/>
    <w:rsid w:val="00A04E9D"/>
    <w:rsid w:val="00A45B71"/>
    <w:rsid w:val="00BB5AB2"/>
    <w:rsid w:val="00BF4802"/>
    <w:rsid w:val="00C0096D"/>
    <w:rsid w:val="00C00E4B"/>
    <w:rsid w:val="00C04109"/>
    <w:rsid w:val="00C34D45"/>
    <w:rsid w:val="00C54C2A"/>
    <w:rsid w:val="00C55325"/>
    <w:rsid w:val="00D25E4D"/>
    <w:rsid w:val="00E26FC3"/>
    <w:rsid w:val="00E573D9"/>
    <w:rsid w:val="00EC7A4A"/>
    <w:rsid w:val="00ED00C6"/>
    <w:rsid w:val="00EE4C4C"/>
    <w:rsid w:val="00F31319"/>
    <w:rsid w:val="00F477EF"/>
    <w:rsid w:val="00F722B0"/>
    <w:rsid w:val="00F91789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6D3F"/>
  <w15:chartTrackingRefBased/>
  <w15:docId w15:val="{71890427-7773-4AB4-B915-13FE32C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10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102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75DDA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4E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4E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4E9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9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789"/>
  </w:style>
  <w:style w:type="paragraph" w:styleId="Pieddepage">
    <w:name w:val="footer"/>
    <w:basedOn w:val="Normal"/>
    <w:link w:val="PieddepageCar"/>
    <w:uiPriority w:val="99"/>
    <w:unhideWhenUsed/>
    <w:rsid w:val="00F9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esteloot@molenbeek.irisne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erspective.brussels/sites/default/files/documents/contratecole_schoolcontract_tootsthielema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pective.brussels/fr/projets/contrat-ecole/deuxieme-serie-2-contrats-ecole-pour-la-periode-2021-2025/contrat-ecole-toots-thielema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1486</Words>
  <Characters>8178</Characters>
  <Application>Microsoft Office Word</Application>
  <DocSecurity>4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de Molenbeek St Jean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KestelootB</dc:creator>
  <cp:keywords/>
  <dc:description/>
  <cp:lastModifiedBy>Ellen Jacobs</cp:lastModifiedBy>
  <cp:revision>2</cp:revision>
  <dcterms:created xsi:type="dcterms:W3CDTF">2022-06-03T11:04:00Z</dcterms:created>
  <dcterms:modified xsi:type="dcterms:W3CDTF">2022-06-03T11:04:00Z</dcterms:modified>
</cp:coreProperties>
</file>